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19" w:rsidRPr="00841DB2" w:rsidRDefault="00596920" w:rsidP="00923F78">
      <w:pPr>
        <w:jc w:val="center"/>
        <w:rPr>
          <w:b/>
          <w:bCs/>
        </w:rPr>
      </w:pPr>
      <w:r w:rsidRPr="00841DB2">
        <w:rPr>
          <w:b/>
          <w:bCs/>
        </w:rPr>
        <w:t>İSLAM İKTİSADI</w:t>
      </w:r>
      <w:r w:rsidR="00841DB2" w:rsidRPr="00841DB2">
        <w:rPr>
          <w:b/>
          <w:bCs/>
        </w:rPr>
        <w:t xml:space="preserve"> DERSİ İÇERİĞİ</w:t>
      </w:r>
    </w:p>
    <w:p w:rsidR="003F174D" w:rsidRDefault="00A704F7" w:rsidP="00DC731A">
      <w:pPr>
        <w:spacing w:after="120" w:line="240" w:lineRule="auto"/>
        <w:ind w:firstLine="709"/>
        <w:jc w:val="both"/>
      </w:pPr>
      <w:r>
        <w:t xml:space="preserve">İslam İktisadı günümüzde gerek İslam dünyasında gerek Batı dünyasında önemi gittikçe artan, hakkında pek çok araştırmalar yapılan, araştırma enstitüleri kurulan bir disiplindir. Günümüzde dünyada yaşanan </w:t>
      </w:r>
      <w:r w:rsidR="00DC731A">
        <w:t xml:space="preserve">büyük </w:t>
      </w:r>
      <w:r>
        <w:t>ekonomik krizlerin İslam</w:t>
      </w:r>
      <w:r w:rsidR="00F6750E">
        <w:t>’</w:t>
      </w:r>
      <w:r>
        <w:t xml:space="preserve">ın iktisat anlayışına olan bu yönelmede </w:t>
      </w:r>
      <w:r w:rsidR="00DC731A">
        <w:t>önemli</w:t>
      </w:r>
      <w:r>
        <w:t xml:space="preserve"> tesiri vardır. Ülkemizde de </w:t>
      </w:r>
      <w:r w:rsidR="00BC21BC">
        <w:t xml:space="preserve">yakın zamanda </w:t>
      </w:r>
      <w:r>
        <w:t xml:space="preserve">müstakil bir anabilim dalı olarak tanınan İslam İktisadı sahasında </w:t>
      </w:r>
      <w:r w:rsidR="00BC21BC">
        <w:t xml:space="preserve">pek çok üniversitede müstakil lisans ve yüksek lisans programları mevcut olup ayrıca seçmeli ders olarak da pek çok fakültede verilmektedir. </w:t>
      </w:r>
    </w:p>
    <w:p w:rsidR="00923F78" w:rsidRDefault="003F174D" w:rsidP="00DC731A">
      <w:pPr>
        <w:spacing w:after="120" w:line="240" w:lineRule="auto"/>
        <w:ind w:firstLine="709"/>
        <w:jc w:val="both"/>
      </w:pPr>
      <w:r>
        <w:t>Bahar döneminde işlenmesi planlanan konular aşağıda tablo halinde verilmiştir. Derste teknik detaylardan ziyade konunun ana hatlarıyla öğrenilmesi hedeflenmekte olup dersin rahat anlaşılır ve powerpoint sunumlar</w:t>
      </w:r>
      <w:r w:rsidR="00DC731A">
        <w:t>/</w:t>
      </w:r>
      <w:r>
        <w:t xml:space="preserve"> video gösterimleriyle</w:t>
      </w:r>
      <w:r w:rsidR="00A704F7">
        <w:t xml:space="preserve"> </w:t>
      </w:r>
      <w:r>
        <w:t xml:space="preserve">zevkli </w:t>
      </w:r>
      <w:r w:rsidR="00F6750E">
        <w:t>hale getirilmesine</w:t>
      </w:r>
      <w:r>
        <w:t xml:space="preserve"> dikkat edilmişti</w:t>
      </w:r>
      <w:r w:rsidR="00F6750E">
        <w:t xml:space="preserve">r. Ders kaynağı olarak belirlenen kitap ve makalelerin dersle ilgili kısımları takip edilecektir. Derste sadece teorik konularla sınırlı kalmayıp günümüz dünyasında </w:t>
      </w:r>
      <w:r w:rsidR="00DC731A">
        <w:t xml:space="preserve">ve ülkemizde </w:t>
      </w:r>
      <w:r w:rsidR="00F6750E">
        <w:t xml:space="preserve">yaşanan ekonomik hadiseler de dersle ilişkilendirilerek ele alınmaya çalışılacaktır. </w:t>
      </w:r>
      <w:r w:rsidR="00DC731A">
        <w:t>Bu yönüyle ve muhtevasındaki konular itibariyle</w:t>
      </w:r>
      <w:r w:rsidR="00F6750E">
        <w:t xml:space="preserve"> iktisat, işletme ve kamu yönetimi öğrencilerinin akademik gelişimine katkı sağlayacak şekilde planlanmıştır.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8"/>
        <w:gridCol w:w="8507"/>
      </w:tblGrid>
      <w:tr w:rsidR="00923F78" w:rsidTr="001B77FC">
        <w:tc>
          <w:tcPr>
            <w:tcW w:w="705" w:type="dxa"/>
          </w:tcPr>
          <w:p w:rsidR="00923F78" w:rsidRPr="001B77FC" w:rsidRDefault="00923F78" w:rsidP="00923F78">
            <w:pPr>
              <w:jc w:val="both"/>
              <w:rPr>
                <w:b/>
                <w:bCs/>
              </w:rPr>
            </w:pPr>
            <w:r w:rsidRPr="001B77FC">
              <w:rPr>
                <w:b/>
                <w:bCs/>
              </w:rPr>
              <w:t>Hafta</w:t>
            </w:r>
          </w:p>
        </w:tc>
        <w:tc>
          <w:tcPr>
            <w:tcW w:w="8507" w:type="dxa"/>
          </w:tcPr>
          <w:p w:rsidR="00923F78" w:rsidRPr="001B77FC" w:rsidRDefault="00923F78" w:rsidP="0054568C">
            <w:pPr>
              <w:jc w:val="center"/>
              <w:rPr>
                <w:b/>
                <w:bCs/>
              </w:rPr>
            </w:pPr>
            <w:r w:rsidRPr="001B77FC">
              <w:rPr>
                <w:b/>
                <w:bCs/>
              </w:rPr>
              <w:t>Konu</w:t>
            </w:r>
          </w:p>
        </w:tc>
      </w:tr>
      <w:tr w:rsidR="00923F78" w:rsidTr="001B77FC">
        <w:tc>
          <w:tcPr>
            <w:tcW w:w="705" w:type="dxa"/>
          </w:tcPr>
          <w:p w:rsidR="00923F78" w:rsidRDefault="00923F78" w:rsidP="00923F78">
            <w:pPr>
              <w:jc w:val="both"/>
            </w:pPr>
            <w:r>
              <w:t>1</w:t>
            </w:r>
          </w:p>
        </w:tc>
        <w:tc>
          <w:tcPr>
            <w:tcW w:w="8507" w:type="dxa"/>
          </w:tcPr>
          <w:p w:rsidR="00923F78" w:rsidRDefault="00E75751" w:rsidP="00923F78">
            <w:pPr>
              <w:jc w:val="both"/>
            </w:pPr>
            <w:r w:rsidRPr="001B77FC">
              <w:rPr>
                <w:b/>
                <w:bCs/>
              </w:rPr>
              <w:t>İslam İktisadı Dersine Giriş</w:t>
            </w:r>
            <w:r>
              <w:t xml:space="preserve">, Ders </w:t>
            </w:r>
            <w:proofErr w:type="spellStart"/>
            <w:r>
              <w:t>hk</w:t>
            </w:r>
            <w:proofErr w:type="spellEnd"/>
            <w:r>
              <w:t>. Genel bilgi</w:t>
            </w:r>
          </w:p>
        </w:tc>
      </w:tr>
      <w:tr w:rsidR="00923F78" w:rsidTr="001B77FC">
        <w:tc>
          <w:tcPr>
            <w:tcW w:w="705" w:type="dxa"/>
          </w:tcPr>
          <w:p w:rsidR="00923F78" w:rsidRDefault="00923F78" w:rsidP="00923F78">
            <w:pPr>
              <w:jc w:val="both"/>
            </w:pPr>
            <w:r>
              <w:t>2</w:t>
            </w:r>
          </w:p>
        </w:tc>
        <w:tc>
          <w:tcPr>
            <w:tcW w:w="8507" w:type="dxa"/>
          </w:tcPr>
          <w:p w:rsidR="00923F78" w:rsidRDefault="00DC731A" w:rsidP="00DC731A">
            <w:pPr>
              <w:jc w:val="both"/>
            </w:pPr>
            <w:r>
              <w:rPr>
                <w:b/>
                <w:bCs/>
              </w:rPr>
              <w:t>Vak</w:t>
            </w:r>
            <w:r w:rsidR="00E75751" w:rsidRPr="001B77FC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Analizi</w:t>
            </w:r>
            <w:r w:rsidR="00E75751">
              <w:t xml:space="preserve">: 2008 </w:t>
            </w:r>
            <w:r w:rsidR="000C345D">
              <w:t xml:space="preserve">ABD </w:t>
            </w:r>
            <w:r w:rsidR="00E75751">
              <w:t>Mali Krizi</w:t>
            </w:r>
            <w:r w:rsidR="000C345D">
              <w:t xml:space="preserve"> ve </w:t>
            </w:r>
            <w:r w:rsidR="000C345D" w:rsidRPr="000C345D">
              <w:t>2008-2012 Global Durgunluk Dönemi</w:t>
            </w:r>
            <w:r w:rsidR="000C345D">
              <w:t>:</w:t>
            </w:r>
            <w:r w:rsidR="00E75751">
              <w:t xml:space="preserve"> Sebepleri, Etkileri, Çıkarılacak Dersler</w:t>
            </w:r>
          </w:p>
        </w:tc>
      </w:tr>
      <w:tr w:rsidR="00923F78" w:rsidTr="001B77FC">
        <w:tc>
          <w:tcPr>
            <w:tcW w:w="705" w:type="dxa"/>
          </w:tcPr>
          <w:p w:rsidR="00923F78" w:rsidRDefault="00923F78" w:rsidP="00923F78">
            <w:pPr>
              <w:jc w:val="both"/>
            </w:pPr>
            <w:r>
              <w:t>3</w:t>
            </w:r>
          </w:p>
        </w:tc>
        <w:tc>
          <w:tcPr>
            <w:tcW w:w="8507" w:type="dxa"/>
          </w:tcPr>
          <w:p w:rsidR="00923F78" w:rsidRDefault="00927113" w:rsidP="008020AB">
            <w:pPr>
              <w:jc w:val="both"/>
            </w:pPr>
            <w:r w:rsidRPr="001B77FC">
              <w:rPr>
                <w:b/>
                <w:bCs/>
              </w:rPr>
              <w:t>İslam İktisadı Düşüncesi</w:t>
            </w:r>
            <w:r>
              <w:t xml:space="preserve">: </w:t>
            </w:r>
            <w:proofErr w:type="spellStart"/>
            <w:r w:rsidR="0062551C">
              <w:t>İslamda</w:t>
            </w:r>
            <w:proofErr w:type="spellEnd"/>
            <w:r w:rsidR="0062551C">
              <w:t xml:space="preserve"> Mal, Servet ve Kalkınma, </w:t>
            </w:r>
            <w:r w:rsidR="008020AB">
              <w:t xml:space="preserve">Kalkınmanın Üç Ayağı, </w:t>
            </w:r>
            <w:r w:rsidR="0062551C">
              <w:t>İktisadi Problem</w:t>
            </w:r>
          </w:p>
        </w:tc>
      </w:tr>
      <w:tr w:rsidR="00923F78" w:rsidTr="001B77FC">
        <w:tc>
          <w:tcPr>
            <w:tcW w:w="705" w:type="dxa"/>
          </w:tcPr>
          <w:p w:rsidR="00923F78" w:rsidRDefault="00923F78" w:rsidP="00923F78">
            <w:pPr>
              <w:jc w:val="both"/>
            </w:pPr>
            <w:r>
              <w:t>4</w:t>
            </w:r>
          </w:p>
        </w:tc>
        <w:tc>
          <w:tcPr>
            <w:tcW w:w="8507" w:type="dxa"/>
          </w:tcPr>
          <w:p w:rsidR="00923F78" w:rsidRDefault="00927113" w:rsidP="000B33E0">
            <w:pPr>
              <w:jc w:val="both"/>
            </w:pPr>
            <w:r w:rsidRPr="001B77FC">
              <w:rPr>
                <w:b/>
                <w:bCs/>
              </w:rPr>
              <w:t>İslam İktisadı Düzenlemeleri</w:t>
            </w:r>
            <w:r w:rsidR="0062551C">
              <w:t>: Faiz</w:t>
            </w:r>
            <w:r w:rsidR="000B33E0">
              <w:t>in</w:t>
            </w:r>
            <w:r w:rsidR="0062551C">
              <w:t>,</w:t>
            </w:r>
            <w:r w:rsidR="000B33E0">
              <w:t xml:space="preserve"> sözleşmelerde aşırı belirsizliğin</w:t>
            </w:r>
            <w:r w:rsidR="0062551C">
              <w:t>, aldatma</w:t>
            </w:r>
            <w:r w:rsidR="000B33E0">
              <w:t>nın, haksız kazancın yasaklanması;</w:t>
            </w:r>
            <w:r w:rsidR="0062551C">
              <w:t xml:space="preserve"> </w:t>
            </w:r>
            <w:r w:rsidR="000B33E0">
              <w:t>emek-sermaye ortaklığına teşvik</w:t>
            </w:r>
          </w:p>
        </w:tc>
      </w:tr>
      <w:tr w:rsidR="00923F78" w:rsidTr="001B77FC">
        <w:tc>
          <w:tcPr>
            <w:tcW w:w="705" w:type="dxa"/>
          </w:tcPr>
          <w:p w:rsidR="00923F78" w:rsidRDefault="00923F78" w:rsidP="00923F78">
            <w:pPr>
              <w:jc w:val="both"/>
            </w:pPr>
            <w:r>
              <w:t>5</w:t>
            </w:r>
          </w:p>
        </w:tc>
        <w:tc>
          <w:tcPr>
            <w:tcW w:w="8507" w:type="dxa"/>
          </w:tcPr>
          <w:p w:rsidR="00923F78" w:rsidRDefault="00927113" w:rsidP="000B33E0">
            <w:pPr>
              <w:jc w:val="both"/>
            </w:pPr>
            <w:r w:rsidRPr="001B77FC">
              <w:rPr>
                <w:b/>
                <w:bCs/>
              </w:rPr>
              <w:t>İslam İktisadı Düzenlemeleri</w:t>
            </w:r>
            <w:r w:rsidR="0062551C">
              <w:t xml:space="preserve">: </w:t>
            </w:r>
            <w:r w:rsidR="000B33E0">
              <w:t xml:space="preserve">Kar-risk ilişkisi, </w:t>
            </w:r>
            <w:r w:rsidR="00735002">
              <w:t>Borç</w:t>
            </w:r>
            <w:r w:rsidR="000B33E0">
              <w:t>tan sakındırma</w:t>
            </w:r>
            <w:r w:rsidR="00735002">
              <w:t xml:space="preserve">, </w:t>
            </w:r>
            <w:r w:rsidR="000B33E0">
              <w:t xml:space="preserve">tüketicinin korunması, üretici ve tüketicinin arasındaki engellerin kaldırılması, serbest piyasa şartlarının temini </w:t>
            </w:r>
          </w:p>
        </w:tc>
      </w:tr>
      <w:tr w:rsidR="00923F78" w:rsidTr="001B77FC">
        <w:tc>
          <w:tcPr>
            <w:tcW w:w="705" w:type="dxa"/>
          </w:tcPr>
          <w:p w:rsidR="00923F78" w:rsidRDefault="00923F78" w:rsidP="00923F78">
            <w:pPr>
              <w:jc w:val="both"/>
            </w:pPr>
            <w:r>
              <w:t>6</w:t>
            </w:r>
          </w:p>
        </w:tc>
        <w:tc>
          <w:tcPr>
            <w:tcW w:w="8507" w:type="dxa"/>
          </w:tcPr>
          <w:p w:rsidR="00923F78" w:rsidRDefault="0062551C" w:rsidP="00923F78">
            <w:pPr>
              <w:jc w:val="both"/>
            </w:pPr>
            <w:r w:rsidRPr="001B77FC">
              <w:rPr>
                <w:b/>
                <w:bCs/>
              </w:rPr>
              <w:t>Sermaye Birikimi</w:t>
            </w:r>
            <w:r>
              <w:t>: Üretim, Tüketimde Denge, Harcamalarda Denge</w:t>
            </w:r>
          </w:p>
        </w:tc>
      </w:tr>
      <w:tr w:rsidR="00923F78" w:rsidTr="001B77FC">
        <w:tc>
          <w:tcPr>
            <w:tcW w:w="705" w:type="dxa"/>
          </w:tcPr>
          <w:p w:rsidR="00923F78" w:rsidRDefault="00923F78" w:rsidP="00923F78">
            <w:pPr>
              <w:jc w:val="both"/>
            </w:pPr>
            <w:r>
              <w:t>7</w:t>
            </w:r>
          </w:p>
        </w:tc>
        <w:tc>
          <w:tcPr>
            <w:tcW w:w="8507" w:type="dxa"/>
          </w:tcPr>
          <w:p w:rsidR="00923F78" w:rsidRDefault="0062551C" w:rsidP="00923F78">
            <w:pPr>
              <w:jc w:val="both"/>
            </w:pPr>
            <w:r w:rsidRPr="001B77FC">
              <w:rPr>
                <w:b/>
                <w:bCs/>
              </w:rPr>
              <w:t>Sermaye Birikimi</w:t>
            </w:r>
            <w:r>
              <w:t>: Tasarruf ve Yatırım</w:t>
            </w:r>
            <w:r w:rsidR="00735002">
              <w:t>, Planlama</w:t>
            </w:r>
          </w:p>
        </w:tc>
      </w:tr>
      <w:tr w:rsidR="00923F78" w:rsidTr="001B77FC">
        <w:tc>
          <w:tcPr>
            <w:tcW w:w="705" w:type="dxa"/>
          </w:tcPr>
          <w:p w:rsidR="00923F78" w:rsidRDefault="00923F78" w:rsidP="00923F78">
            <w:pPr>
              <w:jc w:val="both"/>
            </w:pPr>
            <w:r>
              <w:t>8</w:t>
            </w:r>
          </w:p>
        </w:tc>
        <w:tc>
          <w:tcPr>
            <w:tcW w:w="8507" w:type="dxa"/>
          </w:tcPr>
          <w:p w:rsidR="00923F78" w:rsidRPr="001B77FC" w:rsidRDefault="00BC5F10" w:rsidP="00923F78">
            <w:pPr>
              <w:jc w:val="both"/>
              <w:rPr>
                <w:i/>
                <w:iCs/>
              </w:rPr>
            </w:pPr>
            <w:r w:rsidRPr="001B77FC">
              <w:rPr>
                <w:b/>
                <w:bCs/>
              </w:rPr>
              <w:t>Yönetişim</w:t>
            </w:r>
            <w:r>
              <w:t xml:space="preserve"> (İyi İdare): Yönetişim-kalkınma ilişkisi, yönetişimin esasları, idarenin mesuliyeti</w:t>
            </w:r>
          </w:p>
        </w:tc>
      </w:tr>
      <w:tr w:rsidR="00923F78" w:rsidTr="001B77FC">
        <w:tc>
          <w:tcPr>
            <w:tcW w:w="705" w:type="dxa"/>
          </w:tcPr>
          <w:p w:rsidR="00923F78" w:rsidRDefault="00923F78" w:rsidP="00923F78">
            <w:pPr>
              <w:jc w:val="both"/>
            </w:pPr>
            <w:r>
              <w:t>9</w:t>
            </w:r>
          </w:p>
        </w:tc>
        <w:tc>
          <w:tcPr>
            <w:tcW w:w="8507" w:type="dxa"/>
          </w:tcPr>
          <w:p w:rsidR="00923F78" w:rsidRDefault="00BC5F10" w:rsidP="00923F78">
            <w:pPr>
              <w:jc w:val="both"/>
            </w:pPr>
            <w:r w:rsidRPr="001B77FC">
              <w:rPr>
                <w:i/>
                <w:iCs/>
              </w:rPr>
              <w:t>Ara Sınav</w:t>
            </w:r>
          </w:p>
        </w:tc>
      </w:tr>
      <w:tr w:rsidR="00923F78" w:rsidTr="001B77FC">
        <w:tc>
          <w:tcPr>
            <w:tcW w:w="705" w:type="dxa"/>
          </w:tcPr>
          <w:p w:rsidR="00923F78" w:rsidRDefault="00923F78" w:rsidP="00923F78">
            <w:pPr>
              <w:jc w:val="both"/>
            </w:pPr>
            <w:r>
              <w:t>10</w:t>
            </w:r>
          </w:p>
        </w:tc>
        <w:tc>
          <w:tcPr>
            <w:tcW w:w="8507" w:type="dxa"/>
          </w:tcPr>
          <w:p w:rsidR="00923F78" w:rsidRDefault="00411801" w:rsidP="00923F78">
            <w:pPr>
              <w:jc w:val="both"/>
            </w:pPr>
            <w:r w:rsidRPr="001B77FC">
              <w:rPr>
                <w:b/>
                <w:bCs/>
              </w:rPr>
              <w:t>Yönetişim</w:t>
            </w:r>
            <w:r>
              <w:t xml:space="preserve"> (İyi İdare): Ehliyet ve liyakat, katılımcılık, hesap verebilirlik</w:t>
            </w:r>
            <w:r w:rsidR="00735002">
              <w:t>, çalışan hakları</w:t>
            </w:r>
            <w:r w:rsidR="000B33E0">
              <w:t>, yolsuzlukla mücadele</w:t>
            </w:r>
          </w:p>
        </w:tc>
      </w:tr>
      <w:tr w:rsidR="00923F78" w:rsidTr="001B77FC">
        <w:tc>
          <w:tcPr>
            <w:tcW w:w="705" w:type="dxa"/>
          </w:tcPr>
          <w:p w:rsidR="00923F78" w:rsidRDefault="00923F78" w:rsidP="00923F78">
            <w:pPr>
              <w:jc w:val="both"/>
            </w:pPr>
            <w:r>
              <w:t>11</w:t>
            </w:r>
          </w:p>
        </w:tc>
        <w:tc>
          <w:tcPr>
            <w:tcW w:w="8507" w:type="dxa"/>
          </w:tcPr>
          <w:p w:rsidR="00923F78" w:rsidRDefault="00411801" w:rsidP="001F4C8B">
            <w:pPr>
              <w:jc w:val="both"/>
            </w:pPr>
            <w:r w:rsidRPr="001B77FC">
              <w:rPr>
                <w:b/>
                <w:bCs/>
              </w:rPr>
              <w:t>Sosyal Sermaye</w:t>
            </w:r>
            <w:r>
              <w:t>: Toplumda Güven,</w:t>
            </w:r>
            <w:r w:rsidR="001F4C8B">
              <w:t xml:space="preserve"> Dürüstlük, Güçlü sosyal doku</w:t>
            </w:r>
            <w:r w:rsidR="000B33E0">
              <w:t xml:space="preserve">, </w:t>
            </w:r>
            <w:r>
              <w:t>Sözleşmelerde Güven Faktörü</w:t>
            </w:r>
          </w:p>
        </w:tc>
      </w:tr>
      <w:tr w:rsidR="00923F78" w:rsidTr="001B77FC">
        <w:tc>
          <w:tcPr>
            <w:tcW w:w="705" w:type="dxa"/>
          </w:tcPr>
          <w:p w:rsidR="00923F78" w:rsidRDefault="00923F78" w:rsidP="00923F78">
            <w:pPr>
              <w:jc w:val="both"/>
            </w:pPr>
            <w:r>
              <w:t>12</w:t>
            </w:r>
          </w:p>
        </w:tc>
        <w:tc>
          <w:tcPr>
            <w:tcW w:w="8507" w:type="dxa"/>
          </w:tcPr>
          <w:p w:rsidR="00923F78" w:rsidRDefault="00411801" w:rsidP="00923F78">
            <w:pPr>
              <w:jc w:val="both"/>
            </w:pPr>
            <w:r w:rsidRPr="001B77FC">
              <w:rPr>
                <w:b/>
                <w:bCs/>
              </w:rPr>
              <w:t>Sosyal Sermaye</w:t>
            </w:r>
            <w:r>
              <w:t>: Sosyal sermayenin kalkınmaya etkisi</w:t>
            </w:r>
          </w:p>
        </w:tc>
      </w:tr>
      <w:tr w:rsidR="00923F78" w:rsidTr="001B77FC">
        <w:tc>
          <w:tcPr>
            <w:tcW w:w="705" w:type="dxa"/>
          </w:tcPr>
          <w:p w:rsidR="00923F78" w:rsidRDefault="00923F78" w:rsidP="00923F78">
            <w:pPr>
              <w:jc w:val="both"/>
            </w:pPr>
            <w:r>
              <w:t>13</w:t>
            </w:r>
          </w:p>
        </w:tc>
        <w:tc>
          <w:tcPr>
            <w:tcW w:w="8507" w:type="dxa"/>
          </w:tcPr>
          <w:p w:rsidR="00923F78" w:rsidRDefault="0063204C" w:rsidP="00923F78">
            <w:pPr>
              <w:jc w:val="both"/>
            </w:pPr>
            <w:r>
              <w:t>Kalkınmanın önündeki başlıca maniler ve çözüm yolları</w:t>
            </w:r>
            <w:r w:rsidR="00266FE7">
              <w:t>: Eğitim, Yolsuzluğun Önlenmesi</w:t>
            </w:r>
            <w:r w:rsidR="004412EA">
              <w:t>, Denge</w:t>
            </w:r>
            <w:r w:rsidR="008020AB">
              <w:t>, Ümit</w:t>
            </w:r>
            <w:r w:rsidR="001F4C8B">
              <w:t>, Sosyal sorumluluk bilinci</w:t>
            </w:r>
          </w:p>
        </w:tc>
      </w:tr>
      <w:tr w:rsidR="00923F78" w:rsidTr="001B77FC">
        <w:tc>
          <w:tcPr>
            <w:tcW w:w="705" w:type="dxa"/>
          </w:tcPr>
          <w:p w:rsidR="00923F78" w:rsidRDefault="00923F78" w:rsidP="00923F78">
            <w:pPr>
              <w:jc w:val="both"/>
            </w:pPr>
            <w:r>
              <w:t>14</w:t>
            </w:r>
          </w:p>
        </w:tc>
        <w:tc>
          <w:tcPr>
            <w:tcW w:w="8507" w:type="dxa"/>
          </w:tcPr>
          <w:p w:rsidR="00923F78" w:rsidRDefault="0063204C" w:rsidP="00923F78">
            <w:pPr>
              <w:jc w:val="both"/>
            </w:pPr>
            <w:r>
              <w:t>Kalkınmanın önündeki başlıca maniler ve çözüm yolları</w:t>
            </w:r>
            <w:r w:rsidR="004412EA">
              <w:t xml:space="preserve">: Eğitim, </w:t>
            </w:r>
            <w:r w:rsidR="00266FE7">
              <w:t>Yolsuzluğun Önlenmesi</w:t>
            </w:r>
            <w:r w:rsidR="004412EA">
              <w:t>, Denge</w:t>
            </w:r>
            <w:r w:rsidR="008020AB">
              <w:t>, Ümit</w:t>
            </w:r>
            <w:r w:rsidR="001F4C8B">
              <w:t>, Sosyal sorumluluk bilinci</w:t>
            </w:r>
          </w:p>
        </w:tc>
      </w:tr>
    </w:tbl>
    <w:p w:rsidR="00153F08" w:rsidRDefault="00153F08" w:rsidP="00266FE7">
      <w:pPr>
        <w:spacing w:after="0" w:line="240" w:lineRule="auto"/>
        <w:jc w:val="both"/>
        <w:rPr>
          <w:b/>
          <w:bCs/>
        </w:rPr>
      </w:pPr>
    </w:p>
    <w:p w:rsidR="00AE5169" w:rsidRDefault="00266FE7" w:rsidP="00266FE7">
      <w:pPr>
        <w:spacing w:after="0" w:line="240" w:lineRule="auto"/>
        <w:jc w:val="both"/>
      </w:pPr>
      <w:r>
        <w:rPr>
          <w:b/>
          <w:bCs/>
        </w:rPr>
        <w:t>Ders Kitabı</w:t>
      </w:r>
      <w:r w:rsidR="00AE5169">
        <w:t xml:space="preserve">: </w:t>
      </w:r>
      <w:r w:rsidR="004A3BCA" w:rsidRPr="004A3BCA">
        <w:t>İslam İktisadına Giriş</w:t>
      </w:r>
      <w:r w:rsidR="004A3BCA">
        <w:t xml:space="preserve">, </w:t>
      </w:r>
      <w:r w:rsidR="00923F78">
        <w:t xml:space="preserve">Ali </w:t>
      </w:r>
      <w:proofErr w:type="spellStart"/>
      <w:r w:rsidR="004A3BCA">
        <w:t>Muhyiddin</w:t>
      </w:r>
      <w:proofErr w:type="spellEnd"/>
      <w:r w:rsidR="004A3BCA">
        <w:t xml:space="preserve"> </w:t>
      </w:r>
      <w:proofErr w:type="spellStart"/>
      <w:r w:rsidR="00923F78">
        <w:t>Karadaği</w:t>
      </w:r>
      <w:proofErr w:type="spellEnd"/>
      <w:r w:rsidR="004A3BCA">
        <w:t>, İktisat Yayınları, 2018</w:t>
      </w:r>
    </w:p>
    <w:p w:rsidR="00923F78" w:rsidRDefault="00266FE7" w:rsidP="00266FE7">
      <w:pPr>
        <w:spacing w:after="0" w:line="240" w:lineRule="auto"/>
        <w:jc w:val="both"/>
      </w:pPr>
      <w:r w:rsidRPr="00266FE7">
        <w:rPr>
          <w:b/>
          <w:bCs/>
        </w:rPr>
        <w:t>Yardımcı Kaynaklar</w:t>
      </w:r>
      <w:r>
        <w:t xml:space="preserve">: </w:t>
      </w:r>
      <w:r w:rsidR="004412EA" w:rsidRPr="004412EA">
        <w:t>Hadisler Işı</w:t>
      </w:r>
      <w:r w:rsidR="004A3BCA">
        <w:t>ğında Kalkınma</w:t>
      </w:r>
      <w:r w:rsidR="004412EA">
        <w:t xml:space="preserve">,  </w:t>
      </w:r>
      <w:r w:rsidR="004A3BCA">
        <w:t xml:space="preserve">Mehmet Ali </w:t>
      </w:r>
      <w:proofErr w:type="spellStart"/>
      <w:r w:rsidR="004A3BCA">
        <w:t>Çalgan</w:t>
      </w:r>
      <w:proofErr w:type="spellEnd"/>
      <w:r w:rsidR="004A3BCA">
        <w:t xml:space="preserve">, </w:t>
      </w:r>
      <w:proofErr w:type="spellStart"/>
      <w:r w:rsidR="004412EA">
        <w:t>Sonçağ</w:t>
      </w:r>
      <w:proofErr w:type="spellEnd"/>
      <w:r w:rsidR="004412EA">
        <w:t xml:space="preserve"> Yayınları,</w:t>
      </w:r>
      <w:r w:rsidR="004A3BCA">
        <w:t xml:space="preserve"> 2016</w:t>
      </w:r>
      <w:r w:rsidR="004412EA">
        <w:t xml:space="preserve"> </w:t>
      </w:r>
    </w:p>
    <w:p w:rsidR="00AC26B0" w:rsidRDefault="00E301FA" w:rsidP="002D43D2">
      <w:pPr>
        <w:spacing w:after="0" w:line="240" w:lineRule="auto"/>
        <w:jc w:val="both"/>
      </w:pPr>
      <w:r>
        <w:t>İlgili makaleler (Dersin web sayfasından erişilebilecektir)</w:t>
      </w:r>
      <w:bookmarkStart w:id="0" w:name="_GoBack"/>
      <w:bookmarkEnd w:id="0"/>
    </w:p>
    <w:sectPr w:rsidR="00AC26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1F" w:rsidRDefault="0051261F" w:rsidP="00B45558">
      <w:pPr>
        <w:spacing w:after="0" w:line="240" w:lineRule="auto"/>
      </w:pPr>
      <w:r>
        <w:separator/>
      </w:r>
    </w:p>
  </w:endnote>
  <w:endnote w:type="continuationSeparator" w:id="0">
    <w:p w:rsidR="0051261F" w:rsidRDefault="0051261F" w:rsidP="00B4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1F" w:rsidRDefault="0051261F" w:rsidP="00B45558">
      <w:pPr>
        <w:spacing w:after="0" w:line="240" w:lineRule="auto"/>
      </w:pPr>
      <w:r>
        <w:separator/>
      </w:r>
    </w:p>
  </w:footnote>
  <w:footnote w:type="continuationSeparator" w:id="0">
    <w:p w:rsidR="0051261F" w:rsidRDefault="0051261F" w:rsidP="00B4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58" w:rsidRDefault="00907F09" w:rsidP="00B45558">
    <w:pPr>
      <w:pStyle w:val="stbilgi"/>
    </w:pPr>
    <w:r>
      <w:t xml:space="preserve">Adıyaman </w:t>
    </w:r>
    <w:proofErr w:type="spellStart"/>
    <w:r>
      <w:t>Üniv</w:t>
    </w:r>
    <w:proofErr w:type="spellEnd"/>
    <w:r>
      <w:t xml:space="preserve">. İİBF 2018-19 </w:t>
    </w:r>
    <w:proofErr w:type="spellStart"/>
    <w:r>
      <w:t>Bah</w:t>
    </w:r>
    <w:proofErr w:type="spellEnd"/>
    <w:r>
      <w:t>. Dön.</w:t>
    </w:r>
  </w:p>
  <w:p w:rsidR="00363D2C" w:rsidRDefault="00907F09" w:rsidP="00B45558">
    <w:pPr>
      <w:pStyle w:val="stbilgi"/>
    </w:pPr>
    <w:r>
      <w:t>İKT 432, İŞL 450, KAM 442</w:t>
    </w:r>
  </w:p>
  <w:p w:rsidR="00B45558" w:rsidRDefault="00B45558" w:rsidP="00B45558">
    <w:pPr>
      <w:pStyle w:val="stbilgi"/>
    </w:pPr>
  </w:p>
  <w:p w:rsidR="00B45558" w:rsidRDefault="00B455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750"/>
    <w:multiLevelType w:val="hybridMultilevel"/>
    <w:tmpl w:val="3AF8C4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20"/>
    <w:rsid w:val="000B33E0"/>
    <w:rsid w:val="000C11B6"/>
    <w:rsid w:val="000C345D"/>
    <w:rsid w:val="00153F08"/>
    <w:rsid w:val="001606BF"/>
    <w:rsid w:val="001B3FDB"/>
    <w:rsid w:val="001B77FC"/>
    <w:rsid w:val="001C1719"/>
    <w:rsid w:val="001F4C8B"/>
    <w:rsid w:val="00266FE7"/>
    <w:rsid w:val="002D43D2"/>
    <w:rsid w:val="00363D2C"/>
    <w:rsid w:val="003F174D"/>
    <w:rsid w:val="00411801"/>
    <w:rsid w:val="00426656"/>
    <w:rsid w:val="004412EA"/>
    <w:rsid w:val="004904EF"/>
    <w:rsid w:val="004A3BCA"/>
    <w:rsid w:val="0051261F"/>
    <w:rsid w:val="0054568C"/>
    <w:rsid w:val="00596920"/>
    <w:rsid w:val="0062551C"/>
    <w:rsid w:val="0063204C"/>
    <w:rsid w:val="00735002"/>
    <w:rsid w:val="007A0F68"/>
    <w:rsid w:val="008020AB"/>
    <w:rsid w:val="0080273E"/>
    <w:rsid w:val="00841DB2"/>
    <w:rsid w:val="008A0C81"/>
    <w:rsid w:val="00907F09"/>
    <w:rsid w:val="00923F78"/>
    <w:rsid w:val="00927113"/>
    <w:rsid w:val="00A704F7"/>
    <w:rsid w:val="00AC26B0"/>
    <w:rsid w:val="00AE5169"/>
    <w:rsid w:val="00AF04E3"/>
    <w:rsid w:val="00B45558"/>
    <w:rsid w:val="00BC21BC"/>
    <w:rsid w:val="00BC5F10"/>
    <w:rsid w:val="00C57B51"/>
    <w:rsid w:val="00DC731A"/>
    <w:rsid w:val="00E13ABE"/>
    <w:rsid w:val="00E301FA"/>
    <w:rsid w:val="00E75751"/>
    <w:rsid w:val="00F6750E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3F78"/>
    <w:pPr>
      <w:ind w:left="720"/>
      <w:contextualSpacing/>
    </w:pPr>
  </w:style>
  <w:style w:type="table" w:styleId="TabloKlavuzu">
    <w:name w:val="Table Grid"/>
    <w:basedOn w:val="NormalTablo"/>
    <w:uiPriority w:val="59"/>
    <w:rsid w:val="0092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C26B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45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558"/>
  </w:style>
  <w:style w:type="paragraph" w:styleId="Altbilgi">
    <w:name w:val="footer"/>
    <w:basedOn w:val="Normal"/>
    <w:link w:val="AltbilgiChar"/>
    <w:uiPriority w:val="99"/>
    <w:unhideWhenUsed/>
    <w:rsid w:val="00B45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558"/>
  </w:style>
  <w:style w:type="paragraph" w:styleId="BalonMetni">
    <w:name w:val="Balloon Text"/>
    <w:basedOn w:val="Normal"/>
    <w:link w:val="BalonMetniChar"/>
    <w:uiPriority w:val="99"/>
    <w:semiHidden/>
    <w:unhideWhenUsed/>
    <w:rsid w:val="00B4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3F78"/>
    <w:pPr>
      <w:ind w:left="720"/>
      <w:contextualSpacing/>
    </w:pPr>
  </w:style>
  <w:style w:type="table" w:styleId="TabloKlavuzu">
    <w:name w:val="Table Grid"/>
    <w:basedOn w:val="NormalTablo"/>
    <w:uiPriority w:val="59"/>
    <w:rsid w:val="0092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C26B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45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558"/>
  </w:style>
  <w:style w:type="paragraph" w:styleId="Altbilgi">
    <w:name w:val="footer"/>
    <w:basedOn w:val="Normal"/>
    <w:link w:val="AltbilgiChar"/>
    <w:uiPriority w:val="99"/>
    <w:unhideWhenUsed/>
    <w:rsid w:val="00B45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558"/>
  </w:style>
  <w:style w:type="paragraph" w:styleId="BalonMetni">
    <w:name w:val="Balloon Text"/>
    <w:basedOn w:val="Normal"/>
    <w:link w:val="BalonMetniChar"/>
    <w:uiPriority w:val="99"/>
    <w:semiHidden/>
    <w:unhideWhenUsed/>
    <w:rsid w:val="00B4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pc</cp:lastModifiedBy>
  <cp:revision>36</cp:revision>
  <dcterms:created xsi:type="dcterms:W3CDTF">2019-02-08T07:15:00Z</dcterms:created>
  <dcterms:modified xsi:type="dcterms:W3CDTF">2019-02-12T08:57:00Z</dcterms:modified>
</cp:coreProperties>
</file>